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F4093D">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A6597E">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F4093D">
        <w:rPr>
          <w:rFonts w:ascii="Times New Roman" w:hAnsi="Times New Roman"/>
          <w:bCs/>
          <w:color w:val="FF0000"/>
          <w:sz w:val="20"/>
          <w:szCs w:val="20"/>
          <w:highlight w:val="yellow"/>
        </w:rPr>
        <w:t>3</w:t>
      </w:r>
      <w:r w:rsidR="004B5384">
        <w:rPr>
          <w:rFonts w:ascii="Times New Roman" w:hAnsi="Times New Roman"/>
          <w:bCs/>
          <w:color w:val="FF0000"/>
          <w:sz w:val="20"/>
          <w:szCs w:val="20"/>
          <w:highlight w:val="yellow"/>
        </w:rPr>
        <w:t>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4093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F4093D">
              <w:rPr>
                <w:rFonts w:ascii="Times New Roman" w:hAnsi="Times New Roman"/>
                <w:sz w:val="24"/>
                <w:szCs w:val="24"/>
              </w:rPr>
              <w:t>755</w:t>
            </w:r>
            <w:r w:rsidR="00987D9D">
              <w:rPr>
                <w:rFonts w:ascii="Times New Roman" w:hAnsi="Times New Roman"/>
                <w:sz w:val="24"/>
                <w:szCs w:val="24"/>
              </w:rPr>
              <w:t> </w:t>
            </w:r>
            <w:r w:rsidR="00F4093D">
              <w:rPr>
                <w:rFonts w:ascii="Times New Roman" w:hAnsi="Times New Roman"/>
                <w:sz w:val="24"/>
                <w:szCs w:val="24"/>
              </w:rPr>
              <w:t>412</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49</w:t>
            </w:r>
            <w:r w:rsidRPr="00EB5272">
              <w:rPr>
                <w:rFonts w:ascii="Times New Roman" w:hAnsi="Times New Roman"/>
                <w:sz w:val="20"/>
                <w:szCs w:val="20"/>
              </w:rPr>
              <w:t> </w:t>
            </w:r>
            <w:r w:rsidR="00033235">
              <w:rPr>
                <w:rFonts w:ascii="Times New Roman" w:hAnsi="Times New Roman"/>
                <w:sz w:val="20"/>
                <w:szCs w:val="20"/>
              </w:rPr>
              <w:t>879</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F4093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F4093D">
              <w:rPr>
                <w:rFonts w:ascii="Times New Roman" w:hAnsi="Times New Roman"/>
                <w:sz w:val="20"/>
                <w:szCs w:val="20"/>
              </w:rPr>
              <w:t>90</w:t>
            </w:r>
            <w:r w:rsidR="00862EBD" w:rsidRPr="00EB5272">
              <w:rPr>
                <w:rFonts w:ascii="Times New Roman" w:hAnsi="Times New Roman"/>
                <w:sz w:val="20"/>
                <w:szCs w:val="20"/>
              </w:rPr>
              <w:t> </w:t>
            </w:r>
            <w:r w:rsidR="00F4093D">
              <w:rPr>
                <w:rFonts w:ascii="Times New Roman" w:hAnsi="Times New Roman"/>
                <w:sz w:val="20"/>
                <w:szCs w:val="20"/>
              </w:rPr>
              <w:t>471</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4093D">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F4093D">
              <w:rPr>
                <w:rFonts w:ascii="Times New Roman" w:hAnsi="Times New Roman"/>
                <w:sz w:val="20"/>
                <w:szCs w:val="20"/>
              </w:rPr>
              <w:t>104</w:t>
            </w:r>
            <w:r w:rsidRPr="00EB5272">
              <w:rPr>
                <w:rFonts w:ascii="Times New Roman" w:hAnsi="Times New Roman"/>
                <w:sz w:val="20"/>
                <w:szCs w:val="20"/>
              </w:rPr>
              <w:t> </w:t>
            </w:r>
            <w:r w:rsidR="00F4093D">
              <w:rPr>
                <w:rFonts w:ascii="Times New Roman" w:hAnsi="Times New Roman"/>
                <w:sz w:val="20"/>
                <w:szCs w:val="20"/>
              </w:rPr>
              <w:t>569</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33235">
              <w:rPr>
                <w:rFonts w:ascii="Times New Roman" w:hAnsi="Times New Roman"/>
                <w:sz w:val="20"/>
                <w:szCs w:val="20"/>
              </w:rPr>
              <w:t>40</w:t>
            </w:r>
            <w:r w:rsidRPr="00EB5272">
              <w:rPr>
                <w:rFonts w:ascii="Times New Roman" w:hAnsi="Times New Roman"/>
                <w:sz w:val="20"/>
                <w:szCs w:val="20"/>
              </w:rPr>
              <w:t> </w:t>
            </w:r>
            <w:r w:rsidR="00033235">
              <w:rPr>
                <w:rFonts w:ascii="Times New Roman" w:hAnsi="Times New Roman"/>
                <w:sz w:val="20"/>
                <w:szCs w:val="20"/>
              </w:rPr>
              <w:t>159</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F4093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F4093D">
              <w:rPr>
                <w:rFonts w:ascii="Times New Roman" w:hAnsi="Times New Roman"/>
                <w:sz w:val="18"/>
                <w:szCs w:val="18"/>
              </w:rPr>
              <w:t>755</w:t>
            </w:r>
            <w:r w:rsidR="00862EBD" w:rsidRPr="00713079">
              <w:rPr>
                <w:rFonts w:ascii="Times New Roman" w:hAnsi="Times New Roman"/>
                <w:sz w:val="18"/>
                <w:szCs w:val="18"/>
              </w:rPr>
              <w:t> </w:t>
            </w:r>
            <w:r w:rsidR="00F4093D">
              <w:rPr>
                <w:rFonts w:ascii="Times New Roman" w:hAnsi="Times New Roman"/>
                <w:sz w:val="18"/>
                <w:szCs w:val="18"/>
              </w:rPr>
              <w:t>412</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88008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309</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33</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575</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847</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880088">
              <w:rPr>
                <w:rFonts w:ascii="Times New Roman" w:eastAsia="Times New Roman" w:hAnsi="Times New Roman"/>
                <w:sz w:val="24"/>
                <w:szCs w:val="24"/>
                <w:lang w:eastAsia="ru-RU"/>
              </w:rPr>
              <w:t>64</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422</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880088">
              <w:rPr>
                <w:rFonts w:ascii="Times New Roman" w:eastAsia="Times New Roman" w:hAnsi="Times New Roman"/>
                <w:sz w:val="24"/>
                <w:szCs w:val="24"/>
                <w:lang w:eastAsia="ru-RU"/>
              </w:rPr>
              <w:t>69</w:t>
            </w:r>
            <w:r w:rsidR="00FF2110">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363338">
              <w:rPr>
                <w:rFonts w:ascii="Times New Roman" w:eastAsia="Times New Roman" w:hAnsi="Times New Roman"/>
                <w:sz w:val="24"/>
                <w:szCs w:val="24"/>
                <w:lang w:eastAsia="ru-RU"/>
              </w:rPr>
              <w:t>475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88008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309</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E6DB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Pr="00304668">
              <w:rPr>
                <w:rFonts w:ascii="Times New Roman" w:hAnsi="Times New Roman"/>
                <w:sz w:val="24"/>
                <w:szCs w:val="24"/>
              </w:rPr>
              <w:t> </w:t>
            </w:r>
            <w:r w:rsidR="008E6DBF">
              <w:rPr>
                <w:rFonts w:ascii="Times New Roman" w:hAnsi="Times New Roman"/>
                <w:sz w:val="24"/>
                <w:szCs w:val="24"/>
              </w:rPr>
              <w:t>508</w:t>
            </w:r>
            <w:r w:rsidRPr="00304668">
              <w:rPr>
                <w:rFonts w:ascii="Times New Roman" w:hAnsi="Times New Roman"/>
                <w:sz w:val="24"/>
                <w:szCs w:val="24"/>
              </w:rPr>
              <w:t>,</w:t>
            </w:r>
            <w:r w:rsidR="008E6DBF">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8E6DBF"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8E6DBF">
              <w:rPr>
                <w:rFonts w:ascii="Times New Roman" w:eastAsia="Times New Roman" w:hAnsi="Times New Roman"/>
                <w:sz w:val="24"/>
                <w:szCs w:val="24"/>
                <w:lang w:eastAsia="ru-RU"/>
              </w:rPr>
              <w:t>01</w:t>
            </w:r>
            <w:r w:rsidR="00304668" w:rsidRPr="00304668">
              <w:rPr>
                <w:rFonts w:ascii="Times New Roman" w:eastAsia="Times New Roman" w:hAnsi="Times New Roman"/>
                <w:sz w:val="24"/>
                <w:szCs w:val="24"/>
                <w:lang w:eastAsia="ru-RU"/>
              </w:rPr>
              <w:t> </w:t>
            </w:r>
            <w:r w:rsidR="008E6DBF">
              <w:rPr>
                <w:rFonts w:ascii="Times New Roman" w:eastAsia="Times New Roman" w:hAnsi="Times New Roman"/>
                <w:sz w:val="24"/>
                <w:szCs w:val="24"/>
                <w:lang w:eastAsia="ru-RU"/>
              </w:rPr>
              <w:t>364</w:t>
            </w:r>
            <w:r w:rsidR="00304668" w:rsidRPr="00304668">
              <w:rPr>
                <w:rFonts w:ascii="Times New Roman" w:eastAsia="Times New Roman" w:hAnsi="Times New Roman"/>
                <w:sz w:val="24"/>
                <w:szCs w:val="24"/>
                <w:lang w:eastAsia="ru-RU"/>
              </w:rPr>
              <w:t>,</w:t>
            </w:r>
            <w:r w:rsidR="008E6DBF">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09</w:t>
            </w:r>
            <w:r w:rsidR="00304668" w:rsidRPr="00304668">
              <w:rPr>
                <w:rFonts w:ascii="Times New Roman" w:hAnsi="Times New Roman"/>
                <w:sz w:val="24"/>
                <w:szCs w:val="24"/>
              </w:rPr>
              <w:t> </w:t>
            </w:r>
            <w:r w:rsidR="008E6DBF">
              <w:rPr>
                <w:rFonts w:ascii="Times New Roman" w:hAnsi="Times New Roman"/>
                <w:sz w:val="24"/>
                <w:szCs w:val="24"/>
              </w:rPr>
              <w:t>556</w:t>
            </w:r>
            <w:r w:rsidR="00304668" w:rsidRPr="00304668">
              <w:rPr>
                <w:rFonts w:ascii="Times New Roman" w:hAnsi="Times New Roman"/>
                <w:sz w:val="24"/>
                <w:szCs w:val="24"/>
              </w:rPr>
              <w:t>,</w:t>
            </w:r>
            <w:r w:rsidR="008E6DBF">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00DD6B60">
              <w:rPr>
                <w:rFonts w:ascii="Times New Roman" w:hAnsi="Times New Roman"/>
                <w:sz w:val="24"/>
                <w:szCs w:val="24"/>
              </w:rPr>
              <w:t> </w:t>
            </w:r>
            <w:r w:rsidR="008E6DBF">
              <w:rPr>
                <w:rFonts w:ascii="Times New Roman" w:hAnsi="Times New Roman"/>
                <w:sz w:val="24"/>
                <w:szCs w:val="24"/>
              </w:rPr>
              <w:t>508</w:t>
            </w:r>
            <w:r w:rsidR="00304668" w:rsidRPr="00304668">
              <w:rPr>
                <w:rFonts w:ascii="Times New Roman" w:hAnsi="Times New Roman"/>
                <w:sz w:val="24"/>
                <w:szCs w:val="24"/>
              </w:rPr>
              <w:t>,</w:t>
            </w:r>
            <w:r w:rsidR="008E6DBF">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8008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147</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880088">
              <w:rPr>
                <w:rFonts w:ascii="Times New Roman" w:hAnsi="Times New Roman"/>
                <w:color w:val="000000"/>
                <w:sz w:val="24"/>
              </w:rPr>
              <w:t>90</w:t>
            </w:r>
            <w:r w:rsidR="00304668" w:rsidRPr="00304668">
              <w:rPr>
                <w:rFonts w:ascii="Times New Roman" w:hAnsi="Times New Roman"/>
                <w:color w:val="000000"/>
                <w:sz w:val="24"/>
              </w:rPr>
              <w:t> </w:t>
            </w:r>
            <w:r w:rsidR="00880088">
              <w:rPr>
                <w:rFonts w:ascii="Times New Roman" w:hAnsi="Times New Roman"/>
                <w:color w:val="000000"/>
                <w:sz w:val="24"/>
              </w:rPr>
              <w:t>459</w:t>
            </w:r>
            <w:r w:rsidR="00304668" w:rsidRPr="00304668">
              <w:rPr>
                <w:rFonts w:ascii="Times New Roman" w:hAnsi="Times New Roman"/>
                <w:color w:val="000000"/>
                <w:sz w:val="24"/>
              </w:rPr>
              <w:t>,</w:t>
            </w:r>
            <w:r w:rsidR="00880088">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880088">
              <w:rPr>
                <w:rFonts w:ascii="Times New Roman" w:hAnsi="Times New Roman"/>
                <w:color w:val="000000"/>
                <w:sz w:val="24"/>
              </w:rPr>
              <w:t>5</w:t>
            </w:r>
            <w:r w:rsidR="00304668" w:rsidRPr="00304668">
              <w:rPr>
                <w:rFonts w:ascii="Times New Roman" w:hAnsi="Times New Roman"/>
                <w:color w:val="000000"/>
                <w:sz w:val="24"/>
              </w:rPr>
              <w:t> </w:t>
            </w:r>
            <w:r w:rsidR="00880088">
              <w:rPr>
                <w:rFonts w:ascii="Times New Roman" w:hAnsi="Times New Roman"/>
                <w:color w:val="000000"/>
                <w:sz w:val="24"/>
              </w:rPr>
              <w:t>147</w:t>
            </w:r>
            <w:r w:rsidR="00304668" w:rsidRPr="00304668">
              <w:rPr>
                <w:rFonts w:ascii="Times New Roman" w:hAnsi="Times New Roman"/>
                <w:color w:val="000000"/>
                <w:sz w:val="24"/>
              </w:rPr>
              <w:t>,</w:t>
            </w:r>
            <w:r w:rsidR="00880088">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D52F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454</w:t>
            </w:r>
            <w:r w:rsidRPr="00304668">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711</w:t>
            </w:r>
            <w:r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7D52FC" w:rsidP="007D52F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519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543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7D52FC">
            <w:pPr>
              <w:spacing w:after="0" w:line="240" w:lineRule="auto"/>
              <w:jc w:val="center"/>
              <w:rPr>
                <w:rFonts w:ascii="Times New Roman" w:hAnsi="Times New Roman"/>
                <w:sz w:val="24"/>
                <w:szCs w:val="24"/>
                <w:lang w:val="en-US"/>
              </w:rPr>
            </w:pPr>
            <w:r>
              <w:rPr>
                <w:rFonts w:ascii="Times New Roman" w:hAnsi="Times New Roman"/>
                <w:sz w:val="24"/>
                <w:szCs w:val="24"/>
              </w:rPr>
              <w:t>6</w:t>
            </w:r>
            <w:r w:rsidR="007D52FC">
              <w:rPr>
                <w:rFonts w:ascii="Times New Roman" w:hAnsi="Times New Roman"/>
                <w:sz w:val="24"/>
                <w:szCs w:val="24"/>
              </w:rPr>
              <w:t>84</w:t>
            </w:r>
            <w:r w:rsidR="00953677">
              <w:rPr>
                <w:rFonts w:ascii="Times New Roman" w:hAnsi="Times New Roman"/>
                <w:sz w:val="24"/>
                <w:szCs w:val="24"/>
              </w:rPr>
              <w:t xml:space="preserve"> </w:t>
            </w:r>
            <w:r w:rsidR="007D52FC">
              <w:rPr>
                <w:rFonts w:ascii="Times New Roman" w:hAnsi="Times New Roman"/>
                <w:sz w:val="24"/>
                <w:szCs w:val="24"/>
              </w:rPr>
              <w:t>355</w:t>
            </w:r>
            <w:r w:rsidR="00304668" w:rsidRPr="00304668">
              <w:rPr>
                <w:rFonts w:ascii="Times New Roman" w:hAnsi="Times New Roman"/>
                <w:sz w:val="24"/>
                <w:szCs w:val="24"/>
              </w:rPr>
              <w:t>,</w:t>
            </w:r>
            <w:r w:rsidR="007D52FC">
              <w:rPr>
                <w:rFonts w:ascii="Times New Roman" w:hAnsi="Times New Roman"/>
                <w:sz w:val="24"/>
                <w:szCs w:val="24"/>
              </w:rPr>
              <w:t>4</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7D52FC">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7D52FC">
              <w:rPr>
                <w:rFonts w:ascii="Times New Roman" w:hAnsi="Times New Roman"/>
                <w:sz w:val="24"/>
                <w:szCs w:val="24"/>
              </w:rPr>
              <w:t>454</w:t>
            </w:r>
            <w:r w:rsidR="00304668" w:rsidRPr="00304668">
              <w:rPr>
                <w:rFonts w:ascii="Times New Roman" w:hAnsi="Times New Roman"/>
                <w:sz w:val="24"/>
                <w:szCs w:val="24"/>
              </w:rPr>
              <w:t> </w:t>
            </w:r>
            <w:r w:rsidR="007D52FC">
              <w:rPr>
                <w:rFonts w:ascii="Times New Roman" w:hAnsi="Times New Roman"/>
                <w:sz w:val="24"/>
                <w:szCs w:val="24"/>
              </w:rPr>
              <w:t>711</w:t>
            </w:r>
            <w:r w:rsidR="00304668" w:rsidRPr="00304668">
              <w:rPr>
                <w:rFonts w:ascii="Times New Roman" w:hAnsi="Times New Roman"/>
                <w:sz w:val="24"/>
                <w:szCs w:val="24"/>
              </w:rPr>
              <w:t>,</w:t>
            </w:r>
            <w:r w:rsidR="007D52FC">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481984"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322F98" w:rsidP="00322F98">
                  <w:pPr>
                    <w:spacing w:line="228" w:lineRule="auto"/>
                    <w:jc w:val="center"/>
                    <w:rPr>
                      <w:rFonts w:ascii="Times New Roman" w:hAnsi="Times New Roman"/>
                      <w:lang w:val="en-US"/>
                    </w:rPr>
                  </w:pPr>
                  <w:r>
                    <w:rPr>
                      <w:rFonts w:ascii="Times New Roman" w:hAnsi="Times New Roman"/>
                    </w:rPr>
                    <w:t>8</w:t>
                  </w:r>
                  <w:r w:rsidR="00266554">
                    <w:rPr>
                      <w:rFonts w:ascii="Times New Roman" w:hAnsi="Times New Roman"/>
                    </w:rPr>
                    <w:t> </w:t>
                  </w:r>
                  <w:r>
                    <w:rPr>
                      <w:rFonts w:ascii="Times New Roman" w:hAnsi="Times New Roman"/>
                    </w:rPr>
                    <w:t>398</w:t>
                  </w:r>
                  <w:r w:rsidR="00266554">
                    <w:rPr>
                      <w:rFonts w:ascii="Times New Roman" w:hAnsi="Times New Roman"/>
                    </w:rPr>
                    <w:t>,</w:t>
                  </w:r>
                  <w:r w:rsidR="00C93173">
                    <w:rPr>
                      <w:rFonts w:ascii="Times New Roman" w:hAnsi="Times New Roman"/>
                    </w:rPr>
                    <w:t>3</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322F9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322F98">
                          <w:rPr>
                            <w:rFonts w:ascii="Times New Roman" w:hAnsi="Times New Roman"/>
                            <w:sz w:val="20"/>
                            <w:szCs w:val="20"/>
                          </w:rPr>
                          <w:t>90</w:t>
                        </w:r>
                        <w:r w:rsidR="00030C1B" w:rsidRPr="00030C1B">
                          <w:rPr>
                            <w:rFonts w:ascii="Times New Roman" w:hAnsi="Times New Roman"/>
                            <w:sz w:val="20"/>
                            <w:szCs w:val="20"/>
                          </w:rPr>
                          <w:t> </w:t>
                        </w:r>
                        <w:r w:rsidR="00322F98">
                          <w:rPr>
                            <w:rFonts w:ascii="Times New Roman" w:hAnsi="Times New Roman"/>
                            <w:sz w:val="20"/>
                            <w:szCs w:val="20"/>
                          </w:rPr>
                          <w:t>471</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322F98" w:rsidP="00322F98">
                        <w:pPr>
                          <w:spacing w:after="0" w:line="240" w:lineRule="auto"/>
                          <w:jc w:val="center"/>
                          <w:rPr>
                            <w:lang w:val="en-US"/>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048</w:t>
                        </w:r>
                        <w:r w:rsidR="00030C1B" w:rsidRPr="00030C1B">
                          <w:rPr>
                            <w:rFonts w:ascii="Times New Roman" w:hAnsi="Times New Roman"/>
                            <w:sz w:val="20"/>
                            <w:szCs w:val="20"/>
                          </w:rPr>
                          <w:t> </w:t>
                        </w:r>
                        <w:r>
                          <w:rPr>
                            <w:rFonts w:ascii="Times New Roman" w:hAnsi="Times New Roman"/>
                            <w:sz w:val="20"/>
                            <w:szCs w:val="20"/>
                          </w:rPr>
                          <w:t>532</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49</w:t>
                        </w:r>
                        <w:r w:rsidR="00030C1B" w:rsidRPr="00030C1B">
                          <w:rPr>
                            <w:rFonts w:ascii="Times New Roman" w:hAnsi="Times New Roman"/>
                            <w:sz w:val="20"/>
                            <w:szCs w:val="20"/>
                          </w:rPr>
                          <w:t> </w:t>
                        </w:r>
                        <w:r w:rsidR="000834C8">
                          <w:rPr>
                            <w:rFonts w:ascii="Times New Roman" w:hAnsi="Times New Roman"/>
                            <w:sz w:val="20"/>
                            <w:szCs w:val="20"/>
                          </w:rPr>
                          <w:t>879</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322F98">
                          <w:rPr>
                            <w:rFonts w:ascii="Times New Roman" w:eastAsia="Times New Roman" w:hAnsi="Times New Roman"/>
                            <w:sz w:val="20"/>
                            <w:szCs w:val="20"/>
                            <w:lang w:eastAsia="ru-RU" w:bidi="ru-RU"/>
                          </w:rPr>
                          <w:t>64</w:t>
                        </w:r>
                        <w:r w:rsidR="00030C1B" w:rsidRPr="00030C1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422</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322F98">
                          <w:rPr>
                            <w:rFonts w:ascii="Times New Roman" w:eastAsia="Times New Roman" w:hAnsi="Times New Roman"/>
                            <w:sz w:val="20"/>
                            <w:szCs w:val="20"/>
                            <w:lang w:eastAsia="ru-RU" w:bidi="ru-RU"/>
                          </w:rPr>
                          <w:t>33</w:t>
                        </w:r>
                        <w:r w:rsidR="00030C1B" w:rsidRPr="00030C1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20C16"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4B538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322F98">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4B538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4B5384">
                          <w:rPr>
                            <w:rFonts w:ascii="Times New Roman" w:eastAsia="Times New Roman" w:hAnsi="Times New Roman"/>
                            <w:sz w:val="20"/>
                            <w:szCs w:val="20"/>
                            <w:lang w:eastAsia="ru-RU" w:bidi="ru-RU"/>
                          </w:rPr>
                          <w:t>7</w:t>
                        </w:r>
                        <w:r w:rsidR="009D715C"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614</w:t>
                        </w:r>
                        <w:r w:rsidR="009D715C"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w:t>
                        </w:r>
                        <w:r w:rsidR="00322F98">
                          <w:rPr>
                            <w:rFonts w:ascii="Times New Roman" w:eastAsia="Times New Roman" w:hAnsi="Times New Roman"/>
                            <w:sz w:val="20"/>
                            <w:szCs w:val="20"/>
                            <w:lang w:eastAsia="ru-RU" w:bidi="ru-RU"/>
                          </w:rPr>
                          <w:t>1</w:t>
                        </w:r>
                        <w:r w:rsidR="00756C56">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322F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322F98">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4B538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4B5384">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583</w:t>
                        </w:r>
                        <w:r w:rsidR="00F44FA1"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4B538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4B5384">
                          <w:rPr>
                            <w:rFonts w:ascii="Times New Roman" w:eastAsia="Times New Roman" w:hAnsi="Times New Roman"/>
                            <w:sz w:val="20"/>
                            <w:szCs w:val="20"/>
                            <w:lang w:eastAsia="ru-RU" w:bidi="ru-RU"/>
                          </w:rPr>
                          <w:t>4</w:t>
                        </w:r>
                        <w:r w:rsidR="00F44FA1"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988</w:t>
                        </w:r>
                        <w:r w:rsidR="00F44FA1"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w:t>
                        </w:r>
                        <w:r w:rsidR="00B94347">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B9434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B94347">
                          <w:rPr>
                            <w:rFonts w:ascii="Times New Roman" w:eastAsia="Times New Roman" w:hAnsi="Times New Roman"/>
                            <w:sz w:val="20"/>
                            <w:szCs w:val="20"/>
                            <w:lang w:eastAsia="ru-RU" w:bidi="ru-RU"/>
                          </w:rPr>
                          <w:t>6</w:t>
                        </w:r>
                        <w:r w:rsidR="00D91648"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670</w:t>
                        </w:r>
                        <w:r w:rsidR="00D91648"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69</w:t>
                        </w:r>
                        <w:r w:rsidR="009709A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754</w:t>
                        </w:r>
                        <w:r w:rsidR="009709A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w:t>
                        </w:r>
                        <w:r w:rsidR="00322F98">
                          <w:rPr>
                            <w:rFonts w:ascii="Times New Roman" w:eastAsia="Times New Roman" w:hAnsi="Times New Roman"/>
                            <w:sz w:val="20"/>
                            <w:szCs w:val="20"/>
                            <w:lang w:eastAsia="ru-RU" w:bidi="ru-RU"/>
                          </w:rPr>
                          <w:t>30</w:t>
                        </w:r>
                        <w:r w:rsidR="00585DE2">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20C1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20C16">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20C1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20C16">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4CD" w:rsidP="001914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188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B15BCB">
                          <w:rPr>
                            <w:rFonts w:ascii="Times New Roman" w:hAnsi="Times New Roman"/>
                            <w:sz w:val="20"/>
                            <w:szCs w:val="20"/>
                            <w:lang w:bidi="ru-RU"/>
                          </w:rPr>
                          <w:t>01</w:t>
                        </w:r>
                        <w:r w:rsidRPr="00030C1B">
                          <w:rPr>
                            <w:rFonts w:ascii="Times New Roman" w:hAnsi="Times New Roman"/>
                            <w:sz w:val="20"/>
                            <w:szCs w:val="20"/>
                            <w:lang w:bidi="ru-RU"/>
                          </w:rPr>
                          <w:t> </w:t>
                        </w:r>
                        <w:r w:rsidR="00B15BCB">
                          <w:rPr>
                            <w:rFonts w:ascii="Times New Roman" w:hAnsi="Times New Roman"/>
                            <w:sz w:val="20"/>
                            <w:szCs w:val="20"/>
                            <w:lang w:bidi="ru-RU"/>
                          </w:rPr>
                          <w:t>364</w:t>
                        </w:r>
                        <w:r w:rsidRPr="00030C1B">
                          <w:rPr>
                            <w:rFonts w:ascii="Times New Roman" w:hAnsi="Times New Roman"/>
                            <w:sz w:val="20"/>
                            <w:szCs w:val="20"/>
                            <w:lang w:bidi="ru-RU"/>
                          </w:rPr>
                          <w:t>,</w:t>
                        </w:r>
                        <w:r w:rsidR="00B15BC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B15BCB"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25</w:t>
                        </w:r>
                        <w:r w:rsidR="002A36AF" w:rsidRPr="00030C1B">
                          <w:rPr>
                            <w:rFonts w:ascii="Times New Roman" w:hAnsi="Times New Roman"/>
                            <w:sz w:val="20"/>
                            <w:szCs w:val="20"/>
                            <w:lang w:bidi="ru-RU"/>
                          </w:rPr>
                          <w:t> </w:t>
                        </w:r>
                        <w:r>
                          <w:rPr>
                            <w:rFonts w:ascii="Times New Roman" w:hAnsi="Times New Roman"/>
                            <w:sz w:val="20"/>
                            <w:szCs w:val="20"/>
                            <w:lang w:bidi="ru-RU"/>
                          </w:rPr>
                          <w:t>325</w:t>
                        </w:r>
                        <w:r w:rsidR="002A36AF" w:rsidRPr="00030C1B">
                          <w:rPr>
                            <w:rFonts w:ascii="Times New Roman" w:hAnsi="Times New Roman"/>
                            <w:sz w:val="20"/>
                            <w:szCs w:val="20"/>
                            <w:lang w:bidi="ru-RU"/>
                          </w:rPr>
                          <w:t>,</w:t>
                        </w:r>
                        <w:r>
                          <w:rPr>
                            <w:rFonts w:ascii="Times New Roman" w:hAnsi="Times New Roman"/>
                            <w:sz w:val="20"/>
                            <w:szCs w:val="20"/>
                            <w:lang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417850">
                          <w:rPr>
                            <w:rFonts w:ascii="Times New Roman" w:eastAsia="Times New Roman" w:hAnsi="Times New Roman"/>
                            <w:bCs/>
                            <w:color w:val="000000"/>
                            <w:sz w:val="20"/>
                            <w:szCs w:val="20"/>
                            <w:lang w:eastAsia="ru-RU" w:bidi="ru-RU"/>
                          </w:rPr>
                          <w:t>81</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417850">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w:t>
                        </w:r>
                        <w:r w:rsidR="00417850">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47</w:t>
                        </w:r>
                        <w:r w:rsidR="00D61A05"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417850">
                          <w:rPr>
                            <w:rFonts w:ascii="Times New Roman" w:eastAsia="Times New Roman" w:hAnsi="Times New Roman"/>
                            <w:color w:val="000000"/>
                            <w:sz w:val="20"/>
                            <w:szCs w:val="20"/>
                            <w:lang w:eastAsia="ru-RU" w:bidi="ru-RU"/>
                          </w:rPr>
                          <w:t>1</w:t>
                        </w:r>
                        <w:r w:rsidR="002A36AF"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557</w:t>
                        </w:r>
                        <w:r w:rsidR="002A36AF"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7</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417850">
                          <w:rPr>
                            <w:rFonts w:ascii="Times New Roman" w:eastAsia="Times New Roman" w:hAnsi="Times New Roman"/>
                            <w:color w:val="000000"/>
                            <w:sz w:val="18"/>
                            <w:szCs w:val="18"/>
                            <w:lang w:eastAsia="ru-RU" w:bidi="ru-RU"/>
                          </w:rPr>
                          <w:t>454</w:t>
                        </w:r>
                        <w:r>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17850">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417850"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417850">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770</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w:t>
                        </w:r>
                        <w:r w:rsidR="00092A2C">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766</w:t>
                        </w:r>
                        <w:r w:rsidR="00092A2C"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41785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sidR="00417850">
                          <w:rPr>
                            <w:rFonts w:ascii="Times New Roman" w:eastAsia="Times New Roman" w:hAnsi="Times New Roman"/>
                            <w:sz w:val="20"/>
                            <w:szCs w:val="20"/>
                            <w:lang w:eastAsia="ru-RU" w:bidi="ru-RU"/>
                          </w:rPr>
                          <w:t>688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w:t>
                        </w:r>
                        <w:r w:rsidR="00ED6597">
                          <w:rPr>
                            <w:rFonts w:ascii="Times New Roman" w:eastAsia="Times New Roman" w:hAnsi="Times New Roman"/>
                            <w:sz w:val="20"/>
                            <w:szCs w:val="20"/>
                            <w:lang w:eastAsia="ru-RU" w:bidi="ru-RU"/>
                          </w:rPr>
                          <w:t>555</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7765CA">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875</w:t>
                        </w:r>
                        <w:r w:rsidR="007765CA">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ED6597">
                          <w:rPr>
                            <w:rFonts w:ascii="Times New Roman" w:eastAsia="Times New Roman" w:hAnsi="Times New Roman"/>
                            <w:sz w:val="20"/>
                            <w:szCs w:val="20"/>
                            <w:lang w:eastAsia="ru-RU" w:bidi="ru-RU"/>
                          </w:rPr>
                          <w:t>676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ED6597">
                          <w:rPr>
                            <w:rFonts w:ascii="Times New Roman" w:eastAsia="Times New Roman" w:hAnsi="Times New Roman"/>
                            <w:sz w:val="20"/>
                            <w:szCs w:val="20"/>
                            <w:lang w:eastAsia="ru-RU" w:bidi="ru-RU"/>
                          </w:rPr>
                          <w:t>226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35245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w:t>
                        </w:r>
                        <w:r w:rsidR="00352451">
                          <w:rPr>
                            <w:rFonts w:ascii="Times New Roman" w:eastAsia="Times New Roman" w:hAnsi="Times New Roman"/>
                            <w:sz w:val="20"/>
                            <w:szCs w:val="20"/>
                            <w:lang w:eastAsia="ru-RU" w:bidi="ru-RU"/>
                          </w:rPr>
                          <w:t>6</w:t>
                        </w:r>
                        <w:r w:rsidR="006756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352451">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sidR="0035245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jc w:val="center"/>
                          <w:rPr>
                            <w:lang w:val="en-US"/>
                          </w:rPr>
                        </w:pPr>
                        <w:r>
                          <w:rPr>
                            <w:rFonts w:ascii="Times New Roman" w:eastAsia="Times New Roman" w:hAnsi="Times New Roman"/>
                            <w:sz w:val="20"/>
                            <w:szCs w:val="20"/>
                            <w:lang w:eastAsia="ru-RU" w:bidi="ru-RU"/>
                          </w:rPr>
                          <w:t>519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20C16"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20C16"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84" w:rsidRDefault="00481984">
      <w:pPr>
        <w:spacing w:after="0" w:line="240" w:lineRule="auto"/>
      </w:pPr>
      <w:r>
        <w:separator/>
      </w:r>
    </w:p>
  </w:endnote>
  <w:endnote w:type="continuationSeparator" w:id="0">
    <w:p w:rsidR="00481984" w:rsidRDefault="0048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84" w:rsidRDefault="00481984">
      <w:pPr>
        <w:spacing w:after="0" w:line="240" w:lineRule="auto"/>
      </w:pPr>
      <w:r>
        <w:separator/>
      </w:r>
    </w:p>
  </w:footnote>
  <w:footnote w:type="continuationSeparator" w:id="0">
    <w:p w:rsidR="00481984" w:rsidRDefault="00481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20C16">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9DA3-FFA7-497F-9DF3-07E8E6AF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23339</Words>
  <Characters>133033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2024-12-28T10:44:00Z</dcterms:created>
  <dcterms:modified xsi:type="dcterms:W3CDTF">2024-12-28T10:45:00Z</dcterms:modified>
</cp:coreProperties>
</file>